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jc w:val="both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宁市体函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21号</w:t>
      </w:r>
    </w:p>
    <w:p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宋体"/>
          <w:sz w:val="32"/>
          <w:szCs w:val="32"/>
        </w:rPr>
        <w:t>答复类别：B类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关于市五届人大三次会议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1328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郑进良、吴建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关于促进我市健身行业发展的几点建议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》(第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1328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号)收悉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一、品牌赛事推广科学健身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充分发挥品牌赛事对健身行业的拉动作用，利用赛事传播快、宣传力度大的特点，吸引更多的群众参与，将科学健身的宣传和教育结合赛事之中。每年投入专项资金30万元举办海峡两岸健身健美公开赛，以赛事带动健身行业发展，推广健身健美项目，促进体育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社会力量发展健身行业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引导和鼓励社会资本进入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健身行业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争取</w:t>
      </w:r>
      <w:r>
        <w:rPr>
          <w:rFonts w:hint="eastAsia" w:ascii="仿宋_GB2312" w:hAnsi="仿宋" w:eastAsia="仿宋_GB2312"/>
          <w:sz w:val="32"/>
          <w:szCs w:val="32"/>
        </w:rPr>
        <w:t>将社会力量兴办的健身企业纳入全民健身范畴予以扶持。以城市社区为重点，加快发展适合不同消费需求的健身俱乐部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以单项协会为主线，加快发展协会式俱乐部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。每年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  <w:lang w:eastAsia="zh-CN"/>
        </w:rPr>
        <w:t>体育健身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  <w:lang w:eastAsia="zh-CN"/>
        </w:rPr>
        <w:t>参加各项体育</w:t>
      </w:r>
      <w:r>
        <w:rPr>
          <w:rFonts w:hint="eastAsia" w:ascii="仿宋" w:hAnsi="仿宋" w:eastAsia="仿宋"/>
          <w:sz w:val="32"/>
          <w:szCs w:val="32"/>
        </w:rPr>
        <w:t>展会</w:t>
      </w:r>
      <w:r>
        <w:rPr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，鼓励</w:t>
      </w:r>
      <w:r>
        <w:rPr>
          <w:rFonts w:hint="eastAsia" w:ascii="仿宋" w:hAnsi="仿宋" w:eastAsia="仿宋"/>
          <w:sz w:val="32"/>
          <w:szCs w:val="32"/>
          <w:lang w:eastAsia="zh-CN"/>
        </w:rPr>
        <w:t>体育健身</w:t>
      </w:r>
      <w:r>
        <w:rPr>
          <w:rFonts w:hint="eastAsia" w:ascii="仿宋" w:hAnsi="仿宋" w:eastAsia="仿宋"/>
          <w:sz w:val="32"/>
          <w:szCs w:val="32"/>
        </w:rPr>
        <w:t>企业创新商业模式，在我市举办或承办的市级以上体育赛事和活动中，同等条件下优先采购有利于促进我市体育产业发展的体育产品。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三、争取政策促进健身消费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接市商务局等有关部门，争取每年开展发放体育消费劵等活动。组织动员线下体育服务类实体企业参与，包括运动场馆、健身服务、体育培训、体育旅游服务等，其中各类运动场馆、健身服务场所可以以“次卡、月卡”等形式参与。更好地发挥财政资金撬动居民消费作用，激发群众体育健身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四、联合部门加强行业管理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  根据《福建省体育经营活动管理条例》“工商、文化、民政、公安、质量技术监督、安全生产监督、卫生、价格等行政管理部门应当按照各自的职责，对体育经营活动依法进行管理监督。”等有关规定，我局将根据年度工作安排，主动对接相关部门加强对健身行业的监督管理工作，以体育健身教练资质为切入点加强监督，并沟通市市场监督管理局对预付式消费经营活动重点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五、加强人才培养及提升健身服务质量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结合二级社会体育指导员培训工作，委托市健身健美协会开展健身教练员培训班，加强健身运动专业人才培养，结合8月“体育宣传周”活动组织开展公益健身指导服务活动。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000000"/>
          <w:kern w:val="0"/>
          <w:sz w:val="32"/>
          <w:szCs w:val="32"/>
          <w:lang w:val="en-US" w:eastAsia="zh-CN"/>
        </w:rPr>
        <w:t>再次感谢代表们对体育工作的关注和厚爱，希望今后能继续得到您的支持和帮助。谢谢！</w:t>
      </w:r>
    </w:p>
    <w:p>
      <w:pPr>
        <w:pStyle w:val="17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领导署名：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/>
        <w:rPr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联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系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人：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阮晓枫</w:t>
      </w:r>
    </w:p>
    <w:p>
      <w:pPr>
        <w:pStyle w:val="17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13395930119</w:t>
      </w:r>
    </w:p>
    <w:p>
      <w:pPr>
        <w:pStyle w:val="17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6386" w:leftChars="2584" w:hanging="960" w:hangingChars="300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 宁德市体育局</w:t>
      </w:r>
    </w:p>
    <w:p>
      <w:pPr>
        <w:pStyle w:val="17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6400" w:hanging="6400" w:hangingChars="2000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 xml:space="preserve">                                 2024年5月22日</w:t>
      </w:r>
    </w:p>
    <w:p>
      <w:pPr>
        <w:pStyle w:val="17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（此件主动公开）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hAnsi="仿宋" w:eastAsia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抄送：市人大常委会人事代表工作室（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份）、市政府督查室（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份）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。</w:t>
      </w:r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_GB2312" w:hAnsi="仿宋" w:eastAsia="仿宋_GB2312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宁德市体育局办公室                    2024年5月22日印发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2IxMTkyYjI5NTA0YzYxYzZiYjY0YWYzZDBhNmIifQ=="/>
  </w:docVars>
  <w:rsids>
    <w:rsidRoot w:val="00000000"/>
    <w:rsid w:val="17C56D79"/>
    <w:rsid w:val="1CCB1B9A"/>
    <w:rsid w:val="352A344B"/>
    <w:rsid w:val="719F7978"/>
    <w:rsid w:val="7EA01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</w:rPr>
  </w:style>
  <w:style w:type="paragraph" w:styleId="3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默认段落字体1"/>
    <w:link w:val="1"/>
    <w:autoRedefine/>
    <w:semiHidden/>
    <w:qFormat/>
    <w:uiPriority w:val="0"/>
  </w:style>
  <w:style w:type="table" w:customStyle="1" w:styleId="10">
    <w:name w:val="普通表格1"/>
    <w:autoRedefine/>
    <w:semiHidden/>
    <w:qFormat/>
    <w:uiPriority w:val="0"/>
  </w:style>
  <w:style w:type="paragraph" w:customStyle="1" w:styleId="11">
    <w:name w:val="正文首行缩进 21"/>
    <w:basedOn w:val="12"/>
    <w:autoRedefine/>
    <w:qFormat/>
    <w:uiPriority w:val="0"/>
    <w:pPr>
      <w:ind w:firstLine="420"/>
    </w:pPr>
    <w:rPr>
      <w:rFonts w:ascii="Calibri" w:hAnsi="Calibri" w:eastAsia="宋体"/>
    </w:rPr>
  </w:style>
  <w:style w:type="paragraph" w:customStyle="1" w:styleId="12">
    <w:name w:val="正文文本缩进1"/>
    <w:basedOn w:val="1"/>
    <w:autoRedefine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customStyle="1" w:styleId="13">
    <w:name w:val="正文文本缩进 21"/>
    <w:basedOn w:val="1"/>
    <w:autoRedefine/>
    <w:qFormat/>
    <w:uiPriority w:val="0"/>
    <w:pPr>
      <w:spacing w:after="120" w:afterAutospacing="0" w:line="480" w:lineRule="auto"/>
      <w:ind w:left="420" w:leftChars="200"/>
    </w:pPr>
  </w:style>
  <w:style w:type="paragraph" w:customStyle="1" w:styleId="14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5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7">
    <w:name w:val="HTML 预设格式1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18">
    <w:name w:val="普通(网站)1"/>
    <w:basedOn w:val="1"/>
    <w:autoRedefine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9">
    <w:name w:val="已访问的超链接1"/>
    <w:basedOn w:val="9"/>
    <w:link w:val="1"/>
    <w:autoRedefine/>
    <w:qFormat/>
    <w:uiPriority w:val="0"/>
    <w:rPr>
      <w:color w:val="333333"/>
      <w:u w:val="none"/>
    </w:rPr>
  </w:style>
  <w:style w:type="character" w:customStyle="1" w:styleId="20">
    <w:name w:val="强调1"/>
    <w:basedOn w:val="9"/>
    <w:link w:val="1"/>
    <w:autoRedefine/>
    <w:qFormat/>
    <w:uiPriority w:val="0"/>
  </w:style>
  <w:style w:type="character" w:customStyle="1" w:styleId="21">
    <w:name w:val="超链接1"/>
    <w:basedOn w:val="9"/>
    <w:link w:val="1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296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2024-05-20T05:07:00Z</dcterms:created>
  <dc:creator>Administrator</dc:creator>
  <cp:lastModifiedBy>Administrator</cp:lastModifiedBy>
  <cp:lastPrinted>2024-05-22T07:07:00Z</cp:lastPrinted>
  <dcterms:modified xsi:type="dcterms:W3CDTF">2024-05-23T06:57:11Z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842CA5724A004369B07CB82A7FB121DF_13</vt:lpwstr>
  </property>
</Properties>
</file>