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both"/>
        <w:rPr>
          <w:rFonts w:hint="eastAsia" w:ascii="Calibri" w:hAnsi="Calibri"/>
          <w:b/>
          <w:color w:val="auto"/>
          <w:szCs w:val="21"/>
        </w:rPr>
      </w:pPr>
    </w:p>
    <w:p>
      <w:pPr>
        <w:spacing w:line="100" w:lineRule="atLeast"/>
        <w:jc w:val="center"/>
        <w:rPr>
          <w:rFonts w:hint="eastAsia" w:ascii="Calibri" w:hAnsi="Calibri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ind w:right="23" w:firstLine="308" w:firstLineChars="100"/>
        <w:jc w:val="center"/>
        <w:rPr>
          <w:rFonts w:eastAsia="仿宋_GB2312" w:cs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宁体校〔</w:t>
      </w:r>
      <w:r>
        <w:rPr>
          <w:rFonts w:eastAsia="仿宋_GB2312" w:cs="仿宋_GB2312"/>
          <w:spacing w:val="-6"/>
          <w:sz w:val="32"/>
          <w:szCs w:val="32"/>
        </w:rPr>
        <w:t>20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20</w:t>
      </w:r>
      <w:r>
        <w:rPr>
          <w:rFonts w:hint="eastAsia" w:eastAsia="仿宋_GB2312" w:cs="仿宋_GB2312"/>
          <w:spacing w:val="-6"/>
          <w:sz w:val="32"/>
          <w:szCs w:val="32"/>
        </w:rPr>
        <w:t>〕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pacing w:val="-6"/>
          <w:sz w:val="32"/>
          <w:szCs w:val="32"/>
        </w:rPr>
        <w:t>号</w:t>
      </w:r>
    </w:p>
    <w:p>
      <w:pPr>
        <w:jc w:val="center"/>
        <w:rPr>
          <w:rFonts w:ascii="Calibri" w:hAnsi="Calibri"/>
          <w:b/>
          <w:color w:val="auto"/>
          <w:szCs w:val="21"/>
        </w:rPr>
      </w:pPr>
    </w:p>
    <w:p>
      <w:pPr>
        <w:jc w:val="both"/>
        <w:rPr>
          <w:rFonts w:hint="eastAsia" w:ascii="方正小标宋简体" w:hAnsi="Calibri" w:eastAsia="方正小标宋简体"/>
          <w:b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Calibri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hAnsi="Calibri" w:eastAsia="方正小标宋简体"/>
          <w:b/>
          <w:color w:val="auto"/>
          <w:sz w:val="44"/>
          <w:szCs w:val="44"/>
        </w:rPr>
        <w:t>2019年市少体校教学与训练业务经费</w:t>
      </w:r>
    </w:p>
    <w:p>
      <w:pPr>
        <w:jc w:val="center"/>
        <w:rPr>
          <w:rFonts w:ascii="方正小标宋简体" w:hAnsi="Calibri" w:eastAsia="方正小标宋简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b/>
          <w:color w:val="auto"/>
          <w:sz w:val="44"/>
          <w:szCs w:val="44"/>
        </w:rPr>
        <w:t>市级财政项目支出绩效评价报告</w:t>
      </w:r>
    </w:p>
    <w:p>
      <w:pPr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</w:rPr>
        <w:t>宁德市财政局：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</w:rPr>
        <w:t xml:space="preserve">    按照《关于做好2020年市级部门预算绩效管理有关工作的通知》（宁财绩〔2020〕4号）文件要求：现将自评情况汇报如下：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 xml:space="preserve">    （一）项目单位基本情况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为体育运动发展培养和输送人才，培育体育运动的优秀人才，向省优秀运动队输送运动员，开展辅导培养工作，承担指导和组织青少年开展业余训练及相关比赛活动的职责。</w:t>
      </w:r>
      <w:r>
        <w:rPr>
          <w:rFonts w:ascii="仿宋_GB2312" w:hAnsi="Calibri" w:eastAsia="仿宋_GB2312"/>
          <w:color w:val="auto"/>
          <w:sz w:val="32"/>
          <w:szCs w:val="32"/>
        </w:rPr>
        <w:t xml:space="preserve"> </w:t>
      </w: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（二）项目基本情况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Calibri" w:hAnsi="Calibri"/>
          <w:color w:val="auto"/>
          <w:sz w:val="28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该项目为市少体校教学与训练业务经费100万元，其中：65万元教学与训练业务费主要用于运动员的文化课书本费、课桌椅等配备及运动员训练购买服装、器材等，保证运动员文化学习、训练条件；35万元教学与训练业务经费（彩票基金）系我校拟聘用5位教练员及1位枪弹库智能系统录入员（劳务派遣）工资、福利等，为备战第十七届省运会及保证我校各运动项目的持续发展，保持我校第十六届省运会部分优势项目外聘教练员的职数。</w:t>
      </w:r>
      <w:r>
        <w:rPr>
          <w:rFonts w:ascii="Calibri" w:hAnsi="Calibri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项目实施基本情况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（一）项目组织管理情况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合理编制绩效目标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根据市少体校教学与训练业务经费的资金性质、预期投入、支出的范围、实施内容、工作任务、受益对象等内容，掌握项目相关标准和发展水平等基准数据信息。优先使用最具代表性、最能反映绩效目标真实情况的关键指标。数量、质量、成本、时效以及社会效益、满意度等方面细化、量化，进行绩效目标编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健全项目管理制度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为更好地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完善行为规范、管理科学、运转协调、办事高效的运动学校管理体系，全面提升运动学校工作整体水平,进一步做好新时期运动学校工作。我单位对学校工作制度进行全面修订，针对学校的特点和要求，进一步完善了学校的相关监督管理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3.监督项目执行、纠偏纠错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针对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市少体校教学与训练业务经费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的特点，从项目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的初选与分析、项目的审批与立项、组织与实施、运作与管理每个环节，明确项目负责人，指定专人负责管理项目的实施，对项目实施全程进行监督管理。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开展绩效动态监控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动态监控工作目标是深入贯彻落实《预算法》，进一步建立健全预算绩效监控机制，及时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跟踪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当年预算目标实施情况，努力提高财政资金作用效益。</w:t>
      </w:r>
    </w:p>
    <w:p>
      <w:pPr>
        <w:keepNext w:val="0"/>
        <w:keepLines w:val="0"/>
        <w:pageBreakBefore w:val="0"/>
        <w:tabs>
          <w:tab w:val="left" w:pos="-160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 xml:space="preserve">   （二）项目财务管理状况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</w:pPr>
      <w:r>
        <w:rPr>
          <w:rFonts w:ascii="Calibri" w:hAnsi="Calibri"/>
          <w:color w:val="auto"/>
          <w:sz w:val="28"/>
          <w:szCs w:val="28"/>
        </w:rPr>
        <w:t xml:space="preserve"> </w:t>
      </w:r>
      <w:r>
        <w:rPr>
          <w:rFonts w:hint="eastAsia" w:ascii="Calibri" w:hAnsi="Calibri"/>
          <w:color w:val="auto"/>
          <w:sz w:val="28"/>
          <w:szCs w:val="28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本项目累计安排资金100万元。其中：财政资金-中央0万元,财政资金-省0万元,财政资金-市100万元,其他资金-自筹资金0万元,其他资金-其他0万元本年度预算安排100万元。其中：财政资金-中央0万元,财政资金-省0万元,财政资金-市100万元,其他资金-自筹资金0万元,其他资金-其他0万元实际到位资金总额100万元。其中：财政资金-中央0万元,财政资金-省0万元,财政资金-市100万元,其他资金-自筹资金0万元,其他资金-其他0万元实际资金支出91万元。其中：财政资金-中央0万元,财政资金-省0万元,财政资金-市91万元,其他资金-自筹资金0万元,其他资金-其他0万元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项目绩效分析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项目绩效评价工作开展情况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选用的评价指标和评价方法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Calibri" w:hAnsi="Calibri" w:eastAsia="宋体"/>
          <w:color w:val="auto"/>
          <w:sz w:val="28"/>
          <w:szCs w:val="28"/>
          <w:lang w:eastAsia="zh-CN"/>
        </w:rPr>
      </w:pPr>
      <w:r>
        <w:rPr>
          <w:rFonts w:hint="eastAsia" w:ascii="Calibri" w:hAnsi="Calibri"/>
          <w:color w:val="auto"/>
          <w:sz w:val="28"/>
          <w:szCs w:val="28"/>
        </w:rPr>
        <w:t>采用比较法、公众评判法</w:t>
      </w:r>
      <w:r>
        <w:rPr>
          <w:rFonts w:hint="eastAsia" w:ascii="Calibri" w:hAnsi="Calibri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现场勘验、检查、核实的情况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both"/>
        <w:textAlignment w:val="auto"/>
        <w:rPr>
          <w:rFonts w:ascii="微软雅黑" w:hAnsi="微软雅黑" w:eastAsia="微软雅黑" w:cs="微软雅黑"/>
          <w:color w:val="auto"/>
          <w:spacing w:val="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在项目实施过程中，由项目负责人对项目完成情况进行监督，项目完成后由项目实施单位（人）提出勘验、检查申请，项目负责人组织项目验收小组（人）对项目进行评估、核实，确定项目完成质量。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项目绩效自评得分和自评等级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总权重</w:t>
      </w:r>
      <w:r>
        <w:rPr>
          <w:rFonts w:ascii="仿宋_GB2312" w:hAnsi="Calibri" w:eastAsia="仿宋_GB2312"/>
          <w:color w:val="auto"/>
          <w:sz w:val="32"/>
          <w:szCs w:val="32"/>
        </w:rPr>
        <w:t>100%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，评价总分</w:t>
      </w:r>
      <w:r>
        <w:rPr>
          <w:rFonts w:ascii="仿宋_GB2312" w:hAnsi="Calibri" w:eastAsia="仿宋_GB2312"/>
          <w:color w:val="auto"/>
          <w:sz w:val="32"/>
          <w:szCs w:val="32"/>
        </w:rPr>
        <w:t>100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分，经逐一核对绩效指标，认真自我评价后项目立项6分,绩效目标6分,资金投入8分,资金管理12分,组织实施8分,时效目标2分,成本目标4分,数量目标20分,质量目标7分,社会效益目标16分,服务对象满意度8分,总得分97。自评优秀等级：优秀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项目绩效目标完成情况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1.投入目标完成情况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）时效目标目标1:资金到位率绩效目标值是100%,实际完成值为100%,目标完成率为100%；目标2:项目完成时间绩效目标值是2019年12月31日,实际完成值为2019年12月31日,目标完成率为2019年12月31日。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成本目标目标1:教学经费的支出绩效目标值是35万元,实际完成值为34.12万元,目标完成率为97.49%；目标2:枪弹库录入员的工资福利支出绩效目标值是4万元,实际完成值为4万元,目标完成率为100%；目标3:外聘教练员的工资福利支出绩效目标值是31万元,实际完成值为22.96万元,目标完成率为74.06%；目标4:训练业务费的支出绩效目标值是30万元,实际完成值为30万元,目标完成率为100%。主要用于支付体校电费、支付文化课教师工资、支付外聘教练、枪弹库录入员工资等、购买训练器材、场地维修、外训差旅费等。全年共支出91.08万元,支出实现率91.0800%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2.产出目标完成情况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数量目标目标1:枪库录入员的人数绩效目标值是1人,实际完成值为1人,目标完成率为100%；目标2:购买学生文化课学习用品的批次绩效目标值是2次,实际完成值为4次,目标完成率为200%；目标3:组织学生参加全国比赛的次数绩效目标值是2次,实际完成值为2次,目标完成率为100%；目标4:购买运动员训练器材及服装的批次绩效目标值是5次,实际完成值为7次,目标完成率为140%；目标5:外聘教练员的人数绩效目标值是5人,实际完成值为5人,目标完成率为100%；目标6:组织学生参加全省比赛的次数绩效目标值是3次,实际完成值为3次,目标完成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）质量目标目标1:小学文化课合格率绩效目标值是60%,实际完成值为70.70%,目标完成率为117.83%；目标2:中学文化课合格率绩效目标值是60%,实际完成值为59.07%,目标完成率为98.45%。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3.效益目标完成情况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）社会效益目标目标1:参加省赛获得金牌数绩效目标值是15个,实际完成值为79个,目标完成率为526.67%；目标2:参加市赛获得金牌数绩效目标值是80个,实际完成值为134个,目标完成率为167.5%。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）服务对象满意度目标1:参加训练青少年对训练满意度绩效目标值是90%,实际完成值为93.20%,目标完成率为103.56%。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项目绩效分析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1.决策（20%）指标体系得分20分,其中：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）项目立项满分6分,得6分。立项依据 充分性本项目满分3分,得3分,得分原因为：①项目立项是符合国家法律法规、国民经济发展规划和相关政策；②项目立项是符合行业发展规划和政策要求；③项目立项是与部门职责范围相符，属于部门履职所需；④项目是属于公共财政支持范围，是否符合中央、地方事权支出责任划 分原则；⑤项目是与相关部门同类项目或部门内部相关项目重复。本项得3分,立项程序 规范性本项目满分3分,得3分,得分原因为：①项目按照规定的程序申请设立；②审批文件、材料符合相关要求；③事前已经过必要的可行性研究、专家论证、风险评估、绩效评估、 集体决策。本项得3分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）绩效目标满分6分,得6分。绩效目标 合理性本项目满分3分,得3分,得分原因为：①项目有绩效目标；②项目绩效目标与实际工作内容具有相关性；③项目预期产出效益和效果符合正常的业绩水平；④与预算确定的项目投资额或资金量相匹配。本项得3分,绩效指标 明确性本项目满分3分,得3分,得分原因为：   ①将项目续效目标细化分解为具体的绩效指标；②通过清晰、可衡量的指标值予以体现；③与项目目标任务数或计划数相对应。本项得3分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）资金投入满分8分,得8分。预算编制 科学性本项目满分3分,得3分,得分原因为：①预算编制经过科学论证；②预算内容与项目内容匹配；③预算额度测算依据充分，按照标准编制；④预算确定的项目投资额或资金量与工作任务相匹配。本项得3分,资金分配 合理性本项目满分5分,得5分,得分原因为：①预算编制经过科学论证；②预算内容与项目内容匹配；③预算额度测算依据充分，按照标准编制；④预算确定的项目投资额或资金量与工作任务相匹配。本项得5分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2.过程（20%）指标体系得分20分,其中：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）资金管理满分12分,得12分。资金使用 合规性本项目满分4分,得4分,得分原因为：财政投入乘数达到或超过预期的得满分，本项得4分,预算执行率本项目满分4分,得4分,得分原因为：资金使用率大于95%的得满分，本项得4分,资金到位率本项目满分4分,得4分,得分原因为：到位及时率大于90%的得满分，本项得4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）组织实施满分8分,得8分。制度执行 有效性本项目满分4分,得4分,得分原因为：①遵守相关法律法规和业务管理规定；②项目合同书、验收报告、技术鉴定等资料齐全并及时归档；③项目实施的人员条件、场地设备、信息支撑等落实到位。本项得4分,管理制度 健全性本项目满分4分,得4分,得分原因为：①已制定或具有相应的业务管理制度；②业务管理制度合法、合规、完整。本项得4分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3.投入目标指标体系得分6分,其中：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）时效目标满分2分,得2分。项目完成时间本项目满分1分,得1分,得分原因为：项目实际实施月份于计划月份相符,资金到位率本项目满分1分,得1分,得分原因为：资金到位率达100%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成本目标满分4分,得4分。枪弹库录入员的工资福利支出本项目满分1分,得1分,得分原因为：枪弹库录入员的工资福利支出截至年末累计支出数/当年预算&lt;100%,训练业务费的支出本项目满分1分,得1分,得分原因为：训练业务经费截至年末累计支出数/当年预算=100%,外聘教练员的工资福利支出本项目满分1分,得1分,得分原因为：外聘教练员的工资福利支出截至年末累计支出数/当年预算&lt;=100%,教学经费的支出本项目满分1分,得1分,得分原因为：训练业务经费截至年末累计支出数/当年预算&lt;=100%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4.产出目标指标体系得分27分,其中：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数量目标满分20分,得20分。外聘教练员的人数本项目满分3分,得3分,得分原因为：外聘教练员人数=5人,组织学生参加全国比赛的次数本项目满分3分,得3分,得分原因为：组织学生参加全国比赛的次数&gt;=2次,组织学生参加全省比赛的次数本项目满分3分,得3分,得分原因为：组织学生参加全省比赛的次数&gt;=3次,购买学生文化课学习用品的批次本项目满分5分,得5分,得分原因为：购买学生文化课学习用品的批次&gt;=2次,购买运动员训练器材及服装的批次本项目满分3分,得3分,得分原因为：购买运动员训练器材及服装的批次&gt;=5次,枪库录入员的人数本项目满分3分,得3分,得分原因为：枪弹库录入员人数=1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质量目标满分10分,得7分。中学文化课合格率本项目满分5分,得2分,得分原因为：中学生文化课成绩按百分制计平均达60分占总人数的比例达59.07%,小学文化课合格率本项目满分5分,得5分,得分原因为：小学生文化课成绩按百分制计平均达60分占总人数的比例达70.7%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5.效益目标指标体系得分24分,其中：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社会效益目标满分16分,得16分。参加市赛获得金牌数本项目满分8分,得8分,得分原因为：2019年参加各项运动项目市赛获得134枚金牌,参加省赛获得金牌数本项目满分8分,得8分,得分原因为：2019年参加各项运动项目省赛获得79枚金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（2）服务对象满意度满分8分,得8分。参加训练青少年对训练满意度本项目满分8分,得8分,得分原因为：2019年参加训练青少年对训练满意度&gt;=90%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项目存在问题和改进措施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项目存在的问题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 xml:space="preserve">    1.</w:t>
      </w:r>
      <w:r>
        <w:rPr>
          <w:rFonts w:hint="eastAsia" w:ascii="仿宋_GB2312" w:eastAsia="仿宋_GB2312"/>
          <w:color w:val="auto"/>
          <w:sz w:val="32"/>
          <w:szCs w:val="32"/>
        </w:rPr>
        <w:t>教育管理及综合理论知识等方面有待加强，提高运动员参加比赛的应试能力。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.与省各项目运动中心运动队交流不够，寄训的运动员偏少，运动员的训练不够多元化。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管理工作过于制度化，制度要求不够人性化，没有做到恩威并施，提高各科室的工作配合能力。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楷体_GB2312" w:hAnsi="Calibri" w:eastAsia="楷体_GB2312"/>
          <w:b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>项目改进措施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Calibri" w:eastAsia="楷体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 xml:space="preserve">   1.</w:t>
      </w:r>
      <w:r>
        <w:rPr>
          <w:rFonts w:hint="eastAsia" w:ascii="仿宋_GB2312" w:eastAsia="仿宋_GB2312"/>
          <w:color w:val="auto"/>
          <w:sz w:val="32"/>
          <w:szCs w:val="32"/>
        </w:rPr>
        <w:t>引进优秀人才，加强教练员队伍训练管理、加强教育管理及提高运动员综合理论知识，培养优秀运动员。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 xml:space="preserve">    2.</w:t>
      </w:r>
      <w:r>
        <w:rPr>
          <w:rFonts w:hint="eastAsia" w:ascii="仿宋_GB2312" w:eastAsia="仿宋_GB2312"/>
          <w:color w:val="auto"/>
          <w:sz w:val="32"/>
          <w:szCs w:val="32"/>
        </w:rPr>
        <w:t>加强与省各项目运动中心运动队的交流，多输送我市的优秀运动员集训、寄训至高水平运动队。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 xml:space="preserve">    3.</w:t>
      </w:r>
      <w:r>
        <w:rPr>
          <w:rFonts w:hint="eastAsia" w:ascii="仿宋_GB2312" w:eastAsia="仿宋_GB2312"/>
          <w:color w:val="auto"/>
          <w:sz w:val="32"/>
          <w:szCs w:val="32"/>
        </w:rPr>
        <w:t>灵活把控好管理制度，做到制度人性化，做到恩威并施，做到各科室分工明确，明确各科室的工作职责。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下一步改进工作的意见和建议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Calibri" w:hAnsi="Calibri"/>
          <w:color w:val="auto"/>
          <w:sz w:val="32"/>
          <w:szCs w:val="32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下一步我们将在宁德市体育局的正确领导下，以训练为中心，以改善后勤保障为手段，以思想政治工作为动力，努力克服存在的问题，为完成全年的工作目标而努力，更好的完成财政绩效管理工作。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福建省宁德市少年体育运动学校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 xml:space="preserve">                             2020年6月28日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tblpX="-137" w:tblpY="342"/>
        <w:tblOverlap w:val="never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3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Calibri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32"/>
                <w:szCs w:val="32"/>
                <w:lang w:eastAsia="zh-CN"/>
              </w:rPr>
              <w:t>福建省宁德市少年体育运动学校</w:t>
            </w:r>
            <w:r>
              <w:rPr>
                <w:rFonts w:hint="eastAsia" w:ascii="仿宋_GB2312" w:hAnsi="Calibri" w:eastAsia="仿宋_GB2312"/>
                <w:color w:val="auto"/>
                <w:sz w:val="32"/>
                <w:szCs w:val="32"/>
                <w:lang w:val="en-US" w:eastAsia="zh-CN"/>
              </w:rPr>
              <w:t xml:space="preserve">            2020年6月28日印制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Calibri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第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 </w:instrText>
    </w:r>
    <w:r>
      <w:rPr>
        <w:rFonts w:hint="eastAsia" w:ascii="仿宋_GB2312" w:eastAsia="仿宋_GB2312"/>
        <w:sz w:val="28"/>
        <w:szCs w:val="28"/>
      </w:rPr>
      <w:instrText xml:space="preserve">PAGE  \* Arabic  \* MERGEFORMAT</w:instrText>
    </w:r>
    <w:r>
      <w:rPr>
        <w:rFonts w:ascii="仿宋_GB2312" w:eastAsia="仿宋_GB2312"/>
        <w:sz w:val="28"/>
        <w:szCs w:val="28"/>
      </w:rPr>
      <w:instrText xml:space="preserve">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1</w:t>
    </w:r>
    <w:r>
      <w:rPr>
        <w:rFonts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85E07"/>
    <w:multiLevelType w:val="multilevel"/>
    <w:tmpl w:val="05D85E0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A7E05"/>
    <w:multiLevelType w:val="singleLevel"/>
    <w:tmpl w:val="272A7E05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295C5A4D"/>
    <w:multiLevelType w:val="multilevel"/>
    <w:tmpl w:val="295C5A4D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840" w:firstLine="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66173B"/>
    <w:multiLevelType w:val="multilevel"/>
    <w:tmpl w:val="3366173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firstLine="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35C405"/>
    <w:multiLevelType w:val="singleLevel"/>
    <w:tmpl w:val="3635C405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5">
    <w:nsid w:val="38C8F1C5"/>
    <w:multiLevelType w:val="singleLevel"/>
    <w:tmpl w:val="38C8F1C5"/>
    <w:lvl w:ilvl="0" w:tentative="0">
      <w:start w:val="1"/>
      <w:numFmt w:val="decimal"/>
      <w:lvlText w:val="%1."/>
      <w:lvlJc w:val="left"/>
      <w:pPr>
        <w:tabs>
          <w:tab w:val="left" w:pos="323"/>
        </w:tabs>
        <w:ind w:left="851"/>
      </w:pPr>
      <w:rPr>
        <w:rFonts w:cs="Times New Roman"/>
      </w:rPr>
    </w:lvl>
  </w:abstractNum>
  <w:abstractNum w:abstractNumId="6">
    <w:nsid w:val="52BC0B4E"/>
    <w:multiLevelType w:val="singleLevel"/>
    <w:tmpl w:val="52BC0B4E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25"/>
    <w:rsid w:val="00035F62"/>
    <w:rsid w:val="001159F7"/>
    <w:rsid w:val="00291DF9"/>
    <w:rsid w:val="002E1802"/>
    <w:rsid w:val="00335398"/>
    <w:rsid w:val="003458BE"/>
    <w:rsid w:val="003576B7"/>
    <w:rsid w:val="00381319"/>
    <w:rsid w:val="003A6239"/>
    <w:rsid w:val="003A7CF0"/>
    <w:rsid w:val="003D2410"/>
    <w:rsid w:val="004106F8"/>
    <w:rsid w:val="00457851"/>
    <w:rsid w:val="004E7081"/>
    <w:rsid w:val="005829B7"/>
    <w:rsid w:val="00681D7C"/>
    <w:rsid w:val="006A7341"/>
    <w:rsid w:val="006D5153"/>
    <w:rsid w:val="0074491C"/>
    <w:rsid w:val="008138E2"/>
    <w:rsid w:val="008378AC"/>
    <w:rsid w:val="00864106"/>
    <w:rsid w:val="008A0646"/>
    <w:rsid w:val="00916D25"/>
    <w:rsid w:val="00942568"/>
    <w:rsid w:val="00973845"/>
    <w:rsid w:val="00A7643F"/>
    <w:rsid w:val="00A77725"/>
    <w:rsid w:val="00AA2706"/>
    <w:rsid w:val="00AA71C5"/>
    <w:rsid w:val="00B01948"/>
    <w:rsid w:val="00B13DE3"/>
    <w:rsid w:val="00B27284"/>
    <w:rsid w:val="00C000C5"/>
    <w:rsid w:val="00C62E94"/>
    <w:rsid w:val="00CE2E14"/>
    <w:rsid w:val="00D3733F"/>
    <w:rsid w:val="00D659F9"/>
    <w:rsid w:val="00DC62F2"/>
    <w:rsid w:val="00E1567F"/>
    <w:rsid w:val="00E9791F"/>
    <w:rsid w:val="00EC24D9"/>
    <w:rsid w:val="00ED6E97"/>
    <w:rsid w:val="00F25DD5"/>
    <w:rsid w:val="00F81D2C"/>
    <w:rsid w:val="00FC0884"/>
    <w:rsid w:val="00FC23E1"/>
    <w:rsid w:val="00FD23ED"/>
    <w:rsid w:val="00FD57C7"/>
    <w:rsid w:val="016375C1"/>
    <w:rsid w:val="03D165D0"/>
    <w:rsid w:val="058A7ACF"/>
    <w:rsid w:val="059E4AF0"/>
    <w:rsid w:val="06086062"/>
    <w:rsid w:val="072D542D"/>
    <w:rsid w:val="0A4169E2"/>
    <w:rsid w:val="0A915FF9"/>
    <w:rsid w:val="0DB66711"/>
    <w:rsid w:val="0F3B3DF7"/>
    <w:rsid w:val="0F4C4A4B"/>
    <w:rsid w:val="10241B3B"/>
    <w:rsid w:val="105534A7"/>
    <w:rsid w:val="133871BF"/>
    <w:rsid w:val="133B2C6C"/>
    <w:rsid w:val="15E126C9"/>
    <w:rsid w:val="17976614"/>
    <w:rsid w:val="1862050B"/>
    <w:rsid w:val="1A032458"/>
    <w:rsid w:val="1EFC2CF6"/>
    <w:rsid w:val="1F4948DD"/>
    <w:rsid w:val="220E0E21"/>
    <w:rsid w:val="24CB13A0"/>
    <w:rsid w:val="25A77C52"/>
    <w:rsid w:val="270C5B04"/>
    <w:rsid w:val="2AD43703"/>
    <w:rsid w:val="2FCF583A"/>
    <w:rsid w:val="307E5FE2"/>
    <w:rsid w:val="32B07BB9"/>
    <w:rsid w:val="36E739BB"/>
    <w:rsid w:val="37D44E7B"/>
    <w:rsid w:val="39565F32"/>
    <w:rsid w:val="39F67906"/>
    <w:rsid w:val="3B4D4C32"/>
    <w:rsid w:val="3B6D7F2B"/>
    <w:rsid w:val="3B995BF6"/>
    <w:rsid w:val="3BA4381D"/>
    <w:rsid w:val="3D954968"/>
    <w:rsid w:val="3FFD7ECD"/>
    <w:rsid w:val="42941C21"/>
    <w:rsid w:val="42AB41D3"/>
    <w:rsid w:val="43170CE4"/>
    <w:rsid w:val="43392DF7"/>
    <w:rsid w:val="4436585B"/>
    <w:rsid w:val="44F17E22"/>
    <w:rsid w:val="450D4BED"/>
    <w:rsid w:val="46B75852"/>
    <w:rsid w:val="484B6561"/>
    <w:rsid w:val="4C1928F0"/>
    <w:rsid w:val="4D072ED9"/>
    <w:rsid w:val="53FF3E5B"/>
    <w:rsid w:val="541D230F"/>
    <w:rsid w:val="54C2607E"/>
    <w:rsid w:val="57B211E4"/>
    <w:rsid w:val="582C0F2B"/>
    <w:rsid w:val="584A45D8"/>
    <w:rsid w:val="5A8B0E19"/>
    <w:rsid w:val="5AD179A8"/>
    <w:rsid w:val="5F453F7B"/>
    <w:rsid w:val="5F5B18ED"/>
    <w:rsid w:val="604361F2"/>
    <w:rsid w:val="608A0140"/>
    <w:rsid w:val="61160B15"/>
    <w:rsid w:val="619B1CE7"/>
    <w:rsid w:val="626878F3"/>
    <w:rsid w:val="63B55C29"/>
    <w:rsid w:val="6527409F"/>
    <w:rsid w:val="65831A31"/>
    <w:rsid w:val="6689669C"/>
    <w:rsid w:val="6904473A"/>
    <w:rsid w:val="6B675BB3"/>
    <w:rsid w:val="6C4F2CC1"/>
    <w:rsid w:val="6E732C0B"/>
    <w:rsid w:val="70B86973"/>
    <w:rsid w:val="72064162"/>
    <w:rsid w:val="72D71935"/>
    <w:rsid w:val="7329713C"/>
    <w:rsid w:val="77177346"/>
    <w:rsid w:val="777173A9"/>
    <w:rsid w:val="7ABD32A1"/>
    <w:rsid w:val="7ACD4062"/>
    <w:rsid w:val="7CF35C3F"/>
    <w:rsid w:val="7DB85A35"/>
    <w:rsid w:val="7EC20F0C"/>
    <w:rsid w:val="7EDA377D"/>
    <w:rsid w:val="7F1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769</Words>
  <Characters>4386</Characters>
  <Lines>36</Lines>
  <Paragraphs>10</Paragraphs>
  <TotalTime>7</TotalTime>
  <ScaleCrop>false</ScaleCrop>
  <LinksUpToDate>false</LinksUpToDate>
  <CharactersWithSpaces>5145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2020-07-20T00:33:00Z</dcterms:created>
  <dc:creator>张三</dc:creator>
  <cp:lastModifiedBy>leven</cp:lastModifiedBy>
  <cp:lastPrinted>2020-07-21T01:49:00Z</cp:lastPrinted>
  <dcterms:modified xsi:type="dcterms:W3CDTF">2021-09-29T01:43:00Z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10E167A9EF70447C8CB77307D8F3D530</vt:lpwstr>
  </property>
</Properties>
</file>